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33EA" w:rsidRDefault="008F33EA" w:rsidP="00A53149">
      <w:pPr>
        <w:shd w:val="clear" w:color="auto" w:fill="FFFFFF"/>
        <w:spacing w:before="300" w:after="180" w:line="240" w:lineRule="auto"/>
        <w:textAlignment w:val="top"/>
        <w:outlineLvl w:val="4"/>
        <w:rPr>
          <w:rFonts w:ascii="ProximaNovaSemibold" w:eastAsia="Times New Roman" w:hAnsi="ProximaNovaSemibold" w:cs="Times New Roman"/>
          <w:b/>
          <w:bCs/>
          <w:color w:val="000000"/>
          <w:sz w:val="24"/>
          <w:szCs w:val="24"/>
        </w:rPr>
      </w:pPr>
    </w:p>
    <w:p w:rsidR="008F33EA" w:rsidRPr="008F33EA" w:rsidRDefault="008F33EA" w:rsidP="00A53149">
      <w:pPr>
        <w:shd w:val="clear" w:color="auto" w:fill="FFFFFF"/>
        <w:spacing w:before="300" w:after="180" w:line="240" w:lineRule="auto"/>
        <w:textAlignment w:val="top"/>
        <w:outlineLvl w:val="4"/>
        <w:rPr>
          <w:rFonts w:ascii="ProximaNovaSemibold" w:eastAsia="Times New Roman" w:hAnsi="ProximaNovaSemibold" w:cs="Times New Roman"/>
          <w:b/>
          <w:bCs/>
          <w:color w:val="000000"/>
          <w:sz w:val="24"/>
          <w:szCs w:val="24"/>
          <w:u w:val="thick"/>
        </w:rPr>
      </w:pPr>
      <w:r w:rsidRPr="008F33EA">
        <w:rPr>
          <w:rFonts w:ascii="ProximaNovaSemibold" w:eastAsia="Times New Roman" w:hAnsi="ProximaNovaSemibold" w:cs="Times New Roman"/>
          <w:b/>
          <w:bCs/>
          <w:color w:val="000000"/>
          <w:sz w:val="24"/>
          <w:szCs w:val="24"/>
          <w:u w:val="thick"/>
        </w:rPr>
        <w:t>For Providers Only</w:t>
      </w:r>
    </w:p>
    <w:p w:rsidR="00A53149" w:rsidRPr="00A53149" w:rsidRDefault="00A53149" w:rsidP="00A53149">
      <w:pPr>
        <w:shd w:val="clear" w:color="auto" w:fill="FFFFFF"/>
        <w:spacing w:before="300" w:after="180" w:line="240" w:lineRule="auto"/>
        <w:textAlignment w:val="top"/>
        <w:outlineLvl w:val="4"/>
        <w:rPr>
          <w:rFonts w:ascii="ProximaNovaSemibold" w:eastAsia="Times New Roman" w:hAnsi="ProximaNovaSemibold" w:cs="Times New Roman"/>
          <w:b/>
          <w:bCs/>
          <w:color w:val="000000"/>
          <w:sz w:val="24"/>
          <w:szCs w:val="24"/>
        </w:rPr>
      </w:pPr>
      <w:r w:rsidRPr="00A53149">
        <w:rPr>
          <w:rFonts w:ascii="ProximaNovaSemibold" w:eastAsia="Times New Roman" w:hAnsi="ProximaNovaSemibold" w:cs="Times New Roman"/>
          <w:b/>
          <w:bCs/>
          <w:color w:val="000000"/>
          <w:sz w:val="24"/>
          <w:szCs w:val="24"/>
        </w:rPr>
        <w:t>Determining Eligibility for Enrollment into the Health Home Program</w:t>
      </w:r>
    </w:p>
    <w:p w:rsidR="00A53149" w:rsidRPr="00A53149" w:rsidRDefault="00A53149" w:rsidP="00A53149">
      <w:pPr>
        <w:shd w:val="clear" w:color="auto" w:fill="FFFFFF"/>
        <w:spacing w:before="192" w:after="192" w:line="360" w:lineRule="atLeast"/>
        <w:rPr>
          <w:rFonts w:ascii="Arial" w:eastAsia="Times New Roman" w:hAnsi="Arial" w:cs="Arial"/>
          <w:color w:val="000000"/>
          <w:sz w:val="24"/>
          <w:szCs w:val="24"/>
        </w:rPr>
      </w:pPr>
      <w:r w:rsidRPr="00A53149">
        <w:rPr>
          <w:rFonts w:ascii="Arial" w:eastAsia="Times New Roman" w:hAnsi="Arial" w:cs="Arial"/>
          <w:color w:val="000000"/>
          <w:sz w:val="24"/>
          <w:szCs w:val="24"/>
        </w:rPr>
        <w:t xml:space="preserve">Determining eligibility for the Health Home Program has three steps: Step One: Verify Medicaid enrollment and compatibility; Step Two: Verify Qualifying Conditions; and Step Three: Confirm appropriateness for enrollment. If any of these requirements are not met, the individual may not be enrolled in the Health Home Program. Health Home Care Managers must document each of these eligibility requirements in the member's record. </w:t>
      </w:r>
    </w:p>
    <w:p w:rsidR="00A53149" w:rsidRPr="00A53149" w:rsidRDefault="00A53149" w:rsidP="00A53149">
      <w:pPr>
        <w:spacing w:after="0" w:line="240" w:lineRule="auto"/>
        <w:rPr>
          <w:rFonts w:ascii="Times New Roman" w:eastAsia="Times New Roman" w:hAnsi="Times New Roman" w:cs="Times New Roman"/>
          <w:sz w:val="24"/>
          <w:szCs w:val="24"/>
        </w:rPr>
      </w:pPr>
      <w:r w:rsidRPr="00A53149">
        <w:rPr>
          <w:rFonts w:ascii="Times New Roman" w:eastAsia="Times New Roman" w:hAnsi="Times New Roman" w:cs="Times New Roman"/>
          <w:sz w:val="24"/>
          <w:szCs w:val="24"/>
        </w:rPr>
        <w:pict>
          <v:rect id="_x0000_i1025" style="width:0;height:1.5pt" o:hralign="center" o:hrstd="t" o:hrnoshade="t" o:hr="t" fillcolor="black" stroked="f"/>
        </w:pict>
      </w:r>
    </w:p>
    <w:p w:rsidR="00A53149" w:rsidRPr="00A53149" w:rsidRDefault="00A53149" w:rsidP="00A53149">
      <w:pPr>
        <w:shd w:val="clear" w:color="auto" w:fill="FFFFFF"/>
        <w:spacing w:before="300" w:after="180" w:line="240" w:lineRule="auto"/>
        <w:textAlignment w:val="top"/>
        <w:outlineLvl w:val="3"/>
        <w:rPr>
          <w:rFonts w:ascii="ProximaNovaSemibold" w:eastAsia="Times New Roman" w:hAnsi="ProximaNovaSemibold" w:cs="Times New Roman"/>
          <w:b/>
          <w:bCs/>
          <w:color w:val="000000"/>
          <w:sz w:val="26"/>
          <w:szCs w:val="26"/>
        </w:rPr>
      </w:pPr>
      <w:bookmarkStart w:id="0" w:name="_bookmark6"/>
      <w:bookmarkEnd w:id="0"/>
      <w:r w:rsidRPr="00A53149">
        <w:rPr>
          <w:rFonts w:ascii="ProximaNovaSemibold" w:eastAsia="Times New Roman" w:hAnsi="ProximaNovaSemibold" w:cs="Times New Roman"/>
          <w:b/>
          <w:bCs/>
          <w:color w:val="000000"/>
          <w:sz w:val="26"/>
          <w:szCs w:val="26"/>
        </w:rPr>
        <w:t>Step One: Medicaid</w:t>
      </w:r>
    </w:p>
    <w:p w:rsidR="00A53149" w:rsidRPr="00A53149" w:rsidRDefault="00A53149" w:rsidP="00A53149">
      <w:pPr>
        <w:shd w:val="clear" w:color="auto" w:fill="FFFFFF"/>
        <w:spacing w:before="192" w:after="192" w:line="360" w:lineRule="atLeast"/>
        <w:rPr>
          <w:rFonts w:ascii="Arial" w:eastAsia="Times New Roman" w:hAnsi="Arial" w:cs="Arial"/>
          <w:color w:val="000000"/>
          <w:sz w:val="24"/>
          <w:szCs w:val="24"/>
        </w:rPr>
      </w:pPr>
      <w:r w:rsidRPr="00A53149">
        <w:rPr>
          <w:rFonts w:ascii="Arial" w:eastAsia="Times New Roman" w:hAnsi="Arial" w:cs="Arial"/>
          <w:color w:val="000000"/>
          <w:sz w:val="24"/>
          <w:szCs w:val="24"/>
        </w:rPr>
        <w:t>Medicaid reimbursement for Health Home services can only be provided for individuals with active Medicaid, whose Medicaid coverage type is compatible with Health Home services, and who do not have any disqualifying Restriction/Exception codes</w:t>
      </w:r>
      <w:r>
        <w:rPr>
          <w:rFonts w:ascii="Arial" w:eastAsia="Times New Roman" w:hAnsi="Arial" w:cs="Arial"/>
          <w:color w:val="000000"/>
          <w:sz w:val="24"/>
          <w:szCs w:val="24"/>
        </w:rPr>
        <w:t>.</w:t>
      </w:r>
      <w:r w:rsidRPr="00A53149">
        <w:rPr>
          <w:rFonts w:ascii="Arial" w:eastAsia="Times New Roman" w:hAnsi="Arial" w:cs="Arial"/>
          <w:color w:val="000000"/>
          <w:sz w:val="24"/>
          <w:szCs w:val="24"/>
        </w:rPr>
        <w:t xml:space="preserve"> The Health Home Care Manager (HHCM) must verify Medicaid eligibility at the time of enrollment. A member's Medicaid eligibility may change frequently therefore, the care manager must continue to verify Medicaid eligibility prior to service provision (either directly or through an automated process embedded within the Health Home's Electronic Health Record (EHR)). The Health Home Care Manager (HHCM) must work with eligible members to assist them in enrolling or renewing their Medicaid benefits as required to continue Health Home enrollment. Medicaid coverage may be granted retroactively.</w:t>
      </w:r>
    </w:p>
    <w:p w:rsidR="00A53149" w:rsidRPr="00A53149" w:rsidRDefault="00A53149" w:rsidP="00A53149">
      <w:pPr>
        <w:shd w:val="clear" w:color="auto" w:fill="FFFFFF"/>
        <w:spacing w:before="300" w:after="180" w:line="240" w:lineRule="auto"/>
        <w:textAlignment w:val="top"/>
        <w:outlineLvl w:val="3"/>
        <w:rPr>
          <w:rFonts w:ascii="ProximaNovaSemibold" w:eastAsia="Times New Roman" w:hAnsi="ProximaNovaSemibold" w:cs="Times New Roman"/>
          <w:b/>
          <w:bCs/>
          <w:color w:val="000000"/>
          <w:sz w:val="26"/>
          <w:szCs w:val="26"/>
        </w:rPr>
      </w:pPr>
      <w:bookmarkStart w:id="1" w:name="_bookmark7"/>
      <w:bookmarkEnd w:id="1"/>
      <w:r w:rsidRPr="00A53149">
        <w:rPr>
          <w:rFonts w:ascii="ProximaNovaSemibold" w:eastAsia="Times New Roman" w:hAnsi="ProximaNovaSemibold" w:cs="Times New Roman"/>
          <w:b/>
          <w:bCs/>
          <w:color w:val="000000"/>
          <w:sz w:val="26"/>
          <w:szCs w:val="26"/>
        </w:rPr>
        <w:t>Step Two: Qualifying Conditions</w:t>
      </w:r>
    </w:p>
    <w:p w:rsidR="00B10D93" w:rsidRDefault="00A53149" w:rsidP="00B10D93">
      <w:pPr>
        <w:shd w:val="clear" w:color="auto" w:fill="FFFFFF"/>
        <w:spacing w:before="192" w:after="192" w:line="360" w:lineRule="atLeast"/>
        <w:rPr>
          <w:rFonts w:ascii="Arial" w:eastAsia="Times New Roman" w:hAnsi="Arial" w:cs="Arial"/>
          <w:color w:val="000000"/>
          <w:sz w:val="24"/>
          <w:szCs w:val="24"/>
        </w:rPr>
      </w:pPr>
      <w:r w:rsidRPr="00A53149">
        <w:rPr>
          <w:rFonts w:ascii="Arial" w:eastAsia="Times New Roman" w:hAnsi="Arial" w:cs="Arial"/>
          <w:color w:val="000000"/>
          <w:sz w:val="24"/>
          <w:szCs w:val="24"/>
        </w:rPr>
        <w:t>To be eligible for Health Home services, an individual must have either two chronic conditions (see Appendix A - Health Home Chronic Conditions List) or one single qualifying condition, as follows:</w:t>
      </w:r>
      <w:r w:rsidR="00B10D93">
        <w:rPr>
          <w:rFonts w:ascii="Arial" w:eastAsia="Times New Roman" w:hAnsi="Arial" w:cs="Arial"/>
          <w:color w:val="000000"/>
          <w:sz w:val="24"/>
          <w:szCs w:val="24"/>
        </w:rPr>
        <w:t xml:space="preserve"> </w:t>
      </w:r>
    </w:p>
    <w:p w:rsidR="00145317" w:rsidRPr="00B10D93" w:rsidRDefault="00145317" w:rsidP="00B10D93">
      <w:pPr>
        <w:pStyle w:val="ListParagraph"/>
        <w:numPr>
          <w:ilvl w:val="0"/>
          <w:numId w:val="10"/>
        </w:numPr>
        <w:shd w:val="clear" w:color="auto" w:fill="FFFFFF"/>
        <w:spacing w:before="192" w:after="192" w:line="360" w:lineRule="atLeast"/>
        <w:rPr>
          <w:rFonts w:ascii="Arial" w:eastAsia="Times New Roman" w:hAnsi="Arial" w:cs="Arial"/>
          <w:color w:val="000000"/>
          <w:sz w:val="24"/>
          <w:szCs w:val="24"/>
        </w:rPr>
      </w:pPr>
      <w:hyperlink r:id="rId5" w:history="1">
        <w:r w:rsidRPr="00B10D93">
          <w:rPr>
            <w:rFonts w:ascii="Arial" w:eastAsia="Times New Roman" w:hAnsi="Arial" w:cs="Arial"/>
            <w:sz w:val="24"/>
            <w:szCs w:val="24"/>
          </w:rPr>
          <w:t>Serious Mental Illness (SMI)</w:t>
        </w:r>
      </w:hyperlink>
    </w:p>
    <w:p w:rsidR="00A53149" w:rsidRPr="00B10D93" w:rsidRDefault="00A53149" w:rsidP="00B10D93">
      <w:pPr>
        <w:pStyle w:val="ListParagraph"/>
        <w:numPr>
          <w:ilvl w:val="0"/>
          <w:numId w:val="10"/>
        </w:numPr>
        <w:shd w:val="clear" w:color="auto" w:fill="FFFFFF"/>
        <w:spacing w:before="120" w:after="120" w:line="288" w:lineRule="atLeast"/>
        <w:rPr>
          <w:rFonts w:ascii="Arial" w:eastAsia="Times New Roman" w:hAnsi="Arial" w:cs="Arial"/>
          <w:color w:val="000000"/>
          <w:sz w:val="24"/>
          <w:szCs w:val="24"/>
        </w:rPr>
      </w:pPr>
      <w:r w:rsidRPr="00B10D93">
        <w:rPr>
          <w:rFonts w:ascii="Arial" w:eastAsia="Times New Roman" w:hAnsi="Arial" w:cs="Arial"/>
          <w:color w:val="000000"/>
          <w:sz w:val="24"/>
          <w:szCs w:val="24"/>
        </w:rPr>
        <w:t>HIV/AIDS, o</w:t>
      </w:r>
      <w:r w:rsidR="00B10D93" w:rsidRPr="00B10D93">
        <w:rPr>
          <w:rFonts w:ascii="Arial" w:eastAsia="Times New Roman" w:hAnsi="Arial" w:cs="Arial"/>
          <w:color w:val="000000"/>
          <w:sz w:val="24"/>
          <w:szCs w:val="24"/>
        </w:rPr>
        <w:t>r</w:t>
      </w:r>
    </w:p>
    <w:p w:rsidR="00A53149" w:rsidRPr="00B10D93" w:rsidRDefault="00A53149" w:rsidP="00B10D93">
      <w:pPr>
        <w:pStyle w:val="ListParagraph"/>
        <w:numPr>
          <w:ilvl w:val="0"/>
          <w:numId w:val="10"/>
        </w:numPr>
        <w:shd w:val="clear" w:color="auto" w:fill="FFFFFF"/>
        <w:spacing w:before="120" w:after="120" w:line="288" w:lineRule="atLeast"/>
        <w:rPr>
          <w:rFonts w:ascii="Arial" w:eastAsia="Times New Roman" w:hAnsi="Arial" w:cs="Arial"/>
          <w:color w:val="000000"/>
          <w:sz w:val="24"/>
          <w:szCs w:val="24"/>
        </w:rPr>
      </w:pPr>
      <w:r w:rsidRPr="00B10D93">
        <w:rPr>
          <w:rFonts w:ascii="Arial" w:eastAsia="Times New Roman" w:hAnsi="Arial" w:cs="Arial"/>
          <w:color w:val="000000"/>
          <w:sz w:val="24"/>
          <w:szCs w:val="24"/>
        </w:rPr>
        <w:t xml:space="preserve">Sickle Cell Disease </w:t>
      </w:r>
    </w:p>
    <w:p w:rsidR="00A53149" w:rsidRPr="00A53149" w:rsidRDefault="00A53149" w:rsidP="00A53149">
      <w:pPr>
        <w:shd w:val="clear" w:color="auto" w:fill="FFFFFF"/>
        <w:spacing w:before="192" w:after="192" w:line="360" w:lineRule="atLeast"/>
        <w:rPr>
          <w:rFonts w:ascii="Arial" w:eastAsia="Times New Roman" w:hAnsi="Arial" w:cs="Arial"/>
          <w:color w:val="000000"/>
          <w:sz w:val="24"/>
          <w:szCs w:val="24"/>
        </w:rPr>
      </w:pPr>
      <w:r w:rsidRPr="00A53149">
        <w:rPr>
          <w:rFonts w:ascii="Arial" w:eastAsia="Times New Roman" w:hAnsi="Arial" w:cs="Arial"/>
          <w:color w:val="000000"/>
          <w:sz w:val="24"/>
          <w:szCs w:val="24"/>
        </w:rPr>
        <w:lastRenderedPageBreak/>
        <w:t>Having one chronic condition (other than the single qualifying conditions above) and being at risk of developing another condition does not qualify an individual as Health Home eligible in New York State.</w:t>
      </w:r>
    </w:p>
    <w:p w:rsidR="00A53149" w:rsidRPr="00A53149" w:rsidRDefault="00A53149" w:rsidP="00A53149">
      <w:pPr>
        <w:shd w:val="clear" w:color="auto" w:fill="FFFFFF"/>
        <w:spacing w:before="192" w:after="192" w:line="360" w:lineRule="atLeast"/>
        <w:rPr>
          <w:rFonts w:ascii="Arial" w:eastAsia="Times New Roman" w:hAnsi="Arial" w:cs="Arial"/>
          <w:color w:val="000000"/>
          <w:sz w:val="24"/>
          <w:szCs w:val="24"/>
        </w:rPr>
      </w:pPr>
      <w:r w:rsidRPr="00A53149">
        <w:rPr>
          <w:rFonts w:ascii="Arial" w:eastAsia="Times New Roman" w:hAnsi="Arial" w:cs="Arial"/>
          <w:color w:val="000000"/>
          <w:sz w:val="24"/>
          <w:szCs w:val="24"/>
        </w:rPr>
        <w:t>Verification of qualifying conditions is required for enrollment or if the member's qualifying conditions change any time thereafter. Certain conditions, which are determined based on functioning within the last 12 months, such as Serious Emotional Disturbance, require annual documentation. Verification of the individual's qualifying condition(s) must be documented in the record. Documentation may be accepted from any one of these sources: Managed Care Organizations, referrals, medical records, or medical assessments, written verification by the individual's treating healthcare provider, the Regional Health Information Organization (RHIO), or the Psychiatric Services and Clinical Knowledge Enhancement System (PSYCKES).</w:t>
      </w:r>
    </w:p>
    <w:p w:rsidR="00A53149" w:rsidRPr="00A53149" w:rsidRDefault="00A53149" w:rsidP="00A53149">
      <w:pPr>
        <w:shd w:val="clear" w:color="auto" w:fill="FFFFFF"/>
        <w:spacing w:before="192" w:after="192" w:line="360" w:lineRule="atLeast"/>
        <w:rPr>
          <w:rFonts w:ascii="Arial" w:eastAsia="Times New Roman" w:hAnsi="Arial" w:cs="Arial"/>
          <w:color w:val="000000"/>
          <w:sz w:val="24"/>
          <w:szCs w:val="24"/>
        </w:rPr>
      </w:pPr>
      <w:r w:rsidRPr="00A53149">
        <w:rPr>
          <w:rFonts w:ascii="Arial" w:eastAsia="Times New Roman" w:hAnsi="Arial" w:cs="Arial"/>
          <w:color w:val="000000"/>
          <w:sz w:val="24"/>
          <w:szCs w:val="24"/>
        </w:rPr>
        <w:t>Qualifying chronic conditions are any of those included in the "Major" categories of the 3MTM Clinical Risk Groups (CRGs) described as follows:</w:t>
      </w:r>
    </w:p>
    <w:p w:rsidR="00A53149" w:rsidRPr="00A53149" w:rsidRDefault="00A53149" w:rsidP="00A53149">
      <w:pPr>
        <w:shd w:val="clear" w:color="auto" w:fill="FFFFFF"/>
        <w:spacing w:before="192" w:after="192" w:line="360" w:lineRule="atLeast"/>
        <w:rPr>
          <w:rFonts w:ascii="Arial" w:eastAsia="Times New Roman" w:hAnsi="Arial" w:cs="Arial"/>
          <w:color w:val="000000"/>
          <w:sz w:val="24"/>
          <w:szCs w:val="24"/>
        </w:rPr>
      </w:pPr>
      <w:r w:rsidRPr="00A53149">
        <w:rPr>
          <w:rFonts w:ascii="Arial" w:eastAsia="Times New Roman" w:hAnsi="Arial" w:cs="Arial"/>
          <w:color w:val="000000"/>
          <w:sz w:val="24"/>
          <w:szCs w:val="24"/>
        </w:rPr>
        <w:t>Major Category: Alcohol and Substance Use Disorder</w:t>
      </w:r>
    </w:p>
    <w:p w:rsidR="00A53149" w:rsidRPr="00A53149" w:rsidRDefault="00A53149" w:rsidP="00A53149">
      <w:pPr>
        <w:numPr>
          <w:ilvl w:val="0"/>
          <w:numId w:val="2"/>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Alcohol and Liver Disease</w:t>
      </w:r>
    </w:p>
    <w:p w:rsidR="00A53149" w:rsidRPr="00A53149" w:rsidRDefault="00A53149" w:rsidP="00A53149">
      <w:pPr>
        <w:numPr>
          <w:ilvl w:val="0"/>
          <w:numId w:val="2"/>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Chronic Alcohol Abuse</w:t>
      </w:r>
    </w:p>
    <w:p w:rsidR="00A53149" w:rsidRPr="00A53149" w:rsidRDefault="00A53149" w:rsidP="00A53149">
      <w:pPr>
        <w:numPr>
          <w:ilvl w:val="0"/>
          <w:numId w:val="2"/>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Cocaine Abuse</w:t>
      </w:r>
    </w:p>
    <w:p w:rsidR="00A53149" w:rsidRPr="00A53149" w:rsidRDefault="00A53149" w:rsidP="00A53149">
      <w:pPr>
        <w:numPr>
          <w:ilvl w:val="0"/>
          <w:numId w:val="2"/>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Drug Abuse - Cannabis/NOS/NEC</w:t>
      </w:r>
    </w:p>
    <w:p w:rsidR="00A53149" w:rsidRPr="00A53149" w:rsidRDefault="00A53149" w:rsidP="00A53149">
      <w:pPr>
        <w:numPr>
          <w:ilvl w:val="0"/>
          <w:numId w:val="2"/>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Substance Abuse</w:t>
      </w:r>
    </w:p>
    <w:p w:rsidR="00A53149" w:rsidRPr="00A53149" w:rsidRDefault="00A53149" w:rsidP="00A53149">
      <w:pPr>
        <w:numPr>
          <w:ilvl w:val="0"/>
          <w:numId w:val="2"/>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Opioid Abuse</w:t>
      </w:r>
    </w:p>
    <w:p w:rsidR="00A53149" w:rsidRPr="00A53149" w:rsidRDefault="00A53149" w:rsidP="00A53149">
      <w:pPr>
        <w:numPr>
          <w:ilvl w:val="0"/>
          <w:numId w:val="2"/>
        </w:numPr>
        <w:shd w:val="clear" w:color="auto" w:fill="FFFFFF"/>
        <w:spacing w:before="120" w:after="120" w:line="288" w:lineRule="atLeast"/>
        <w:ind w:left="0"/>
        <w:rPr>
          <w:rFonts w:ascii="Arial" w:eastAsia="Times New Roman" w:hAnsi="Arial" w:cs="Arial"/>
          <w:color w:val="000000"/>
          <w:sz w:val="24"/>
          <w:szCs w:val="24"/>
        </w:rPr>
      </w:pPr>
      <w:proofErr w:type="gramStart"/>
      <w:r w:rsidRPr="00A53149">
        <w:rPr>
          <w:rFonts w:ascii="Arial" w:eastAsia="Times New Roman" w:hAnsi="Arial" w:cs="Arial"/>
          <w:color w:val="000000"/>
          <w:sz w:val="24"/>
          <w:szCs w:val="24"/>
        </w:rPr>
        <w:t>Other</w:t>
      </w:r>
      <w:proofErr w:type="gramEnd"/>
      <w:r w:rsidRPr="00A53149">
        <w:rPr>
          <w:rFonts w:ascii="Arial" w:eastAsia="Times New Roman" w:hAnsi="Arial" w:cs="Arial"/>
          <w:color w:val="000000"/>
          <w:sz w:val="24"/>
          <w:szCs w:val="24"/>
        </w:rPr>
        <w:t xml:space="preserve"> Significant Drug Abuse</w:t>
      </w:r>
    </w:p>
    <w:p w:rsidR="00A53149" w:rsidRPr="00A53149" w:rsidRDefault="00A53149" w:rsidP="00A53149">
      <w:pPr>
        <w:shd w:val="clear" w:color="auto" w:fill="FFFFFF"/>
        <w:spacing w:before="192" w:after="192" w:line="360" w:lineRule="atLeast"/>
        <w:rPr>
          <w:rFonts w:ascii="Arial" w:eastAsia="Times New Roman" w:hAnsi="Arial" w:cs="Arial"/>
          <w:color w:val="000000"/>
          <w:sz w:val="24"/>
          <w:szCs w:val="24"/>
        </w:rPr>
      </w:pPr>
      <w:r w:rsidRPr="00A53149">
        <w:rPr>
          <w:rFonts w:ascii="Arial" w:eastAsia="Times New Roman" w:hAnsi="Arial" w:cs="Arial"/>
          <w:color w:val="000000"/>
          <w:sz w:val="24"/>
          <w:szCs w:val="24"/>
        </w:rPr>
        <w:t>Major Category: Mental Health</w:t>
      </w:r>
    </w:p>
    <w:p w:rsidR="00A53149" w:rsidRPr="00A53149" w:rsidRDefault="00A53149" w:rsidP="00A53149">
      <w:pPr>
        <w:numPr>
          <w:ilvl w:val="0"/>
          <w:numId w:val="3"/>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Bi-Polar Disorder</w:t>
      </w:r>
    </w:p>
    <w:p w:rsidR="00A53149" w:rsidRPr="00A53149" w:rsidRDefault="00A53149" w:rsidP="00A53149">
      <w:pPr>
        <w:numPr>
          <w:ilvl w:val="0"/>
          <w:numId w:val="3"/>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Conduct, Impulse Control, and Other Disruptive Behavior Disorders</w:t>
      </w:r>
    </w:p>
    <w:p w:rsidR="00A53149" w:rsidRPr="00A53149" w:rsidRDefault="00A53149" w:rsidP="00A53149">
      <w:pPr>
        <w:numPr>
          <w:ilvl w:val="0"/>
          <w:numId w:val="3"/>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Dementing Disease</w:t>
      </w:r>
    </w:p>
    <w:p w:rsidR="00A53149" w:rsidRPr="00A53149" w:rsidRDefault="00A53149" w:rsidP="00A53149">
      <w:pPr>
        <w:numPr>
          <w:ilvl w:val="0"/>
          <w:numId w:val="3"/>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Depressive and Other Psychoses</w:t>
      </w:r>
    </w:p>
    <w:p w:rsidR="00A53149" w:rsidRPr="00A53149" w:rsidRDefault="00A53149" w:rsidP="00A53149">
      <w:pPr>
        <w:numPr>
          <w:ilvl w:val="0"/>
          <w:numId w:val="3"/>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Eating Disorder</w:t>
      </w:r>
    </w:p>
    <w:p w:rsidR="00A53149" w:rsidRPr="00A53149" w:rsidRDefault="00A53149" w:rsidP="00A53149">
      <w:pPr>
        <w:shd w:val="clear" w:color="auto" w:fill="FFFFFF"/>
        <w:spacing w:before="192" w:after="192" w:line="360" w:lineRule="atLeast"/>
        <w:rPr>
          <w:rFonts w:ascii="Arial" w:eastAsia="Times New Roman" w:hAnsi="Arial" w:cs="Arial"/>
          <w:color w:val="000000"/>
          <w:sz w:val="24"/>
          <w:szCs w:val="24"/>
        </w:rPr>
      </w:pPr>
      <w:r w:rsidRPr="00A53149">
        <w:rPr>
          <w:rFonts w:ascii="Arial" w:eastAsia="Times New Roman" w:hAnsi="Arial" w:cs="Arial"/>
          <w:color w:val="000000"/>
          <w:sz w:val="24"/>
          <w:szCs w:val="24"/>
        </w:rPr>
        <w:t>Major Personality Disorders</w:t>
      </w:r>
    </w:p>
    <w:p w:rsidR="00A53149" w:rsidRPr="00A53149" w:rsidRDefault="00A53149" w:rsidP="00A53149">
      <w:pPr>
        <w:numPr>
          <w:ilvl w:val="0"/>
          <w:numId w:val="4"/>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Psychiatric Disease (Except Schizophrenia)</w:t>
      </w:r>
    </w:p>
    <w:p w:rsidR="00A53149" w:rsidRPr="00A53149" w:rsidRDefault="00A53149" w:rsidP="00A53149">
      <w:pPr>
        <w:numPr>
          <w:ilvl w:val="0"/>
          <w:numId w:val="4"/>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lastRenderedPageBreak/>
        <w:t>Schizophrenia</w:t>
      </w:r>
    </w:p>
    <w:p w:rsidR="00A53149" w:rsidRPr="00A53149" w:rsidRDefault="00A53149" w:rsidP="00A53149">
      <w:pPr>
        <w:shd w:val="clear" w:color="auto" w:fill="FFFFFF"/>
        <w:spacing w:before="192" w:after="192" w:line="360" w:lineRule="atLeast"/>
        <w:rPr>
          <w:rFonts w:ascii="Arial" w:eastAsia="Times New Roman" w:hAnsi="Arial" w:cs="Arial"/>
          <w:color w:val="000000"/>
          <w:sz w:val="24"/>
          <w:szCs w:val="24"/>
        </w:rPr>
      </w:pPr>
      <w:r w:rsidRPr="00A53149">
        <w:rPr>
          <w:rFonts w:ascii="Arial" w:eastAsia="Times New Roman" w:hAnsi="Arial" w:cs="Arial"/>
          <w:color w:val="000000"/>
          <w:sz w:val="24"/>
          <w:szCs w:val="24"/>
        </w:rPr>
        <w:t>Major Category: Cardiovascular Disease</w:t>
      </w:r>
    </w:p>
    <w:p w:rsidR="00A53149" w:rsidRPr="00A53149" w:rsidRDefault="00A53149" w:rsidP="00A53149">
      <w:pPr>
        <w:numPr>
          <w:ilvl w:val="0"/>
          <w:numId w:val="5"/>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Advanced Coronary Artery Disease</w:t>
      </w:r>
    </w:p>
    <w:p w:rsidR="00A53149" w:rsidRPr="00A53149" w:rsidRDefault="00A53149" w:rsidP="00A53149">
      <w:pPr>
        <w:numPr>
          <w:ilvl w:val="0"/>
          <w:numId w:val="5"/>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Cerebrovascular Disease</w:t>
      </w:r>
    </w:p>
    <w:p w:rsidR="00A53149" w:rsidRPr="00A53149" w:rsidRDefault="00A53149" w:rsidP="00A53149">
      <w:pPr>
        <w:numPr>
          <w:ilvl w:val="0"/>
          <w:numId w:val="5"/>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Congestive Heart Failure</w:t>
      </w:r>
    </w:p>
    <w:p w:rsidR="00A53149" w:rsidRPr="00A53149" w:rsidRDefault="00A53149" w:rsidP="00A53149">
      <w:pPr>
        <w:numPr>
          <w:ilvl w:val="0"/>
          <w:numId w:val="5"/>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Hypertension</w:t>
      </w:r>
    </w:p>
    <w:p w:rsidR="00A53149" w:rsidRPr="00A53149" w:rsidRDefault="00A53149" w:rsidP="00A53149">
      <w:pPr>
        <w:numPr>
          <w:ilvl w:val="0"/>
          <w:numId w:val="5"/>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Peripheral Vascular Disease</w:t>
      </w:r>
    </w:p>
    <w:p w:rsidR="00A53149" w:rsidRPr="00A53149" w:rsidRDefault="00A53149" w:rsidP="00A53149">
      <w:pPr>
        <w:shd w:val="clear" w:color="auto" w:fill="FFFFFF"/>
        <w:spacing w:before="192" w:after="192" w:line="360" w:lineRule="atLeast"/>
        <w:rPr>
          <w:rFonts w:ascii="Arial" w:eastAsia="Times New Roman" w:hAnsi="Arial" w:cs="Arial"/>
          <w:color w:val="000000"/>
          <w:sz w:val="24"/>
          <w:szCs w:val="24"/>
        </w:rPr>
      </w:pPr>
      <w:r w:rsidRPr="00A53149">
        <w:rPr>
          <w:rFonts w:ascii="Arial" w:eastAsia="Times New Roman" w:hAnsi="Arial" w:cs="Arial"/>
          <w:color w:val="000000"/>
          <w:sz w:val="24"/>
          <w:szCs w:val="24"/>
        </w:rPr>
        <w:t>Major Category: Developmental Disability</w:t>
      </w:r>
    </w:p>
    <w:p w:rsidR="00A53149" w:rsidRPr="00A53149" w:rsidRDefault="00A53149" w:rsidP="00A53149">
      <w:pPr>
        <w:numPr>
          <w:ilvl w:val="0"/>
          <w:numId w:val="6"/>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Intellectual Disability</w:t>
      </w:r>
    </w:p>
    <w:p w:rsidR="00A53149" w:rsidRPr="00A53149" w:rsidRDefault="00A53149" w:rsidP="00A53149">
      <w:pPr>
        <w:numPr>
          <w:ilvl w:val="0"/>
          <w:numId w:val="6"/>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Cerebral Palsy</w:t>
      </w:r>
    </w:p>
    <w:p w:rsidR="00A53149" w:rsidRPr="00A53149" w:rsidRDefault="00A53149" w:rsidP="00A53149">
      <w:pPr>
        <w:numPr>
          <w:ilvl w:val="0"/>
          <w:numId w:val="6"/>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Epilepsy</w:t>
      </w:r>
    </w:p>
    <w:p w:rsidR="00A53149" w:rsidRPr="00A53149" w:rsidRDefault="00A53149" w:rsidP="00A53149">
      <w:pPr>
        <w:numPr>
          <w:ilvl w:val="0"/>
          <w:numId w:val="6"/>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Neurological Impairment</w:t>
      </w:r>
    </w:p>
    <w:p w:rsidR="00A53149" w:rsidRPr="00A53149" w:rsidRDefault="00A53149" w:rsidP="00A53149">
      <w:pPr>
        <w:numPr>
          <w:ilvl w:val="0"/>
          <w:numId w:val="6"/>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Familial Dysautonomia</w:t>
      </w:r>
    </w:p>
    <w:p w:rsidR="00A53149" w:rsidRPr="00A53149" w:rsidRDefault="00A53149" w:rsidP="00A53149">
      <w:pPr>
        <w:numPr>
          <w:ilvl w:val="0"/>
          <w:numId w:val="6"/>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Prader-Willi Syndrome</w:t>
      </w:r>
    </w:p>
    <w:p w:rsidR="00A53149" w:rsidRPr="00A53149" w:rsidRDefault="00A53149" w:rsidP="00A53149">
      <w:pPr>
        <w:numPr>
          <w:ilvl w:val="0"/>
          <w:numId w:val="6"/>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 xml:space="preserve">Autism </w:t>
      </w:r>
    </w:p>
    <w:p w:rsidR="00A53149" w:rsidRPr="00A53149" w:rsidRDefault="00A53149" w:rsidP="00A53149">
      <w:pPr>
        <w:shd w:val="clear" w:color="auto" w:fill="FFFFFF"/>
        <w:spacing w:before="192" w:after="192" w:line="360" w:lineRule="atLeast"/>
        <w:rPr>
          <w:rFonts w:ascii="Arial" w:eastAsia="Times New Roman" w:hAnsi="Arial" w:cs="Arial"/>
          <w:color w:val="000000"/>
          <w:sz w:val="24"/>
          <w:szCs w:val="24"/>
        </w:rPr>
      </w:pPr>
      <w:r w:rsidRPr="00A53149">
        <w:rPr>
          <w:rFonts w:ascii="Arial" w:eastAsia="Times New Roman" w:hAnsi="Arial" w:cs="Arial"/>
          <w:color w:val="000000"/>
          <w:sz w:val="24"/>
          <w:szCs w:val="24"/>
        </w:rPr>
        <w:t>Major Category: Metabolic Disease</w:t>
      </w:r>
    </w:p>
    <w:p w:rsidR="00A53149" w:rsidRPr="00A53149" w:rsidRDefault="00A53149" w:rsidP="00A53149">
      <w:pPr>
        <w:numPr>
          <w:ilvl w:val="0"/>
          <w:numId w:val="7"/>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Chronic Renal Failure</w:t>
      </w:r>
    </w:p>
    <w:p w:rsidR="00A53149" w:rsidRPr="00A53149" w:rsidRDefault="00A53149" w:rsidP="00A53149">
      <w:pPr>
        <w:numPr>
          <w:ilvl w:val="0"/>
          <w:numId w:val="7"/>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Diabetes</w:t>
      </w:r>
    </w:p>
    <w:p w:rsidR="00A53149" w:rsidRPr="00A53149" w:rsidRDefault="00A53149" w:rsidP="00A53149">
      <w:pPr>
        <w:shd w:val="clear" w:color="auto" w:fill="FFFFFF"/>
        <w:spacing w:before="192" w:after="192" w:line="360" w:lineRule="atLeast"/>
        <w:rPr>
          <w:rFonts w:ascii="Arial" w:eastAsia="Times New Roman" w:hAnsi="Arial" w:cs="Arial"/>
          <w:color w:val="000000"/>
          <w:sz w:val="24"/>
          <w:szCs w:val="24"/>
        </w:rPr>
      </w:pPr>
      <w:r w:rsidRPr="00A53149">
        <w:rPr>
          <w:rFonts w:ascii="Arial" w:eastAsia="Times New Roman" w:hAnsi="Arial" w:cs="Arial"/>
          <w:color w:val="000000"/>
          <w:sz w:val="24"/>
          <w:szCs w:val="24"/>
        </w:rPr>
        <w:t>Major Category: Respiratory Disease</w:t>
      </w:r>
    </w:p>
    <w:p w:rsidR="00A53149" w:rsidRPr="00A53149" w:rsidRDefault="00A53149" w:rsidP="00A53149">
      <w:pPr>
        <w:numPr>
          <w:ilvl w:val="0"/>
          <w:numId w:val="8"/>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Asthma</w:t>
      </w:r>
    </w:p>
    <w:p w:rsidR="00A53149" w:rsidRPr="00A53149" w:rsidRDefault="00A53149" w:rsidP="00A53149">
      <w:pPr>
        <w:numPr>
          <w:ilvl w:val="0"/>
          <w:numId w:val="8"/>
        </w:numPr>
        <w:shd w:val="clear" w:color="auto" w:fill="FFFFFF"/>
        <w:spacing w:before="120" w:after="120" w:line="288" w:lineRule="atLeast"/>
        <w:ind w:left="0"/>
        <w:rPr>
          <w:rFonts w:ascii="Arial" w:eastAsia="Times New Roman" w:hAnsi="Arial" w:cs="Arial"/>
          <w:color w:val="000000"/>
          <w:sz w:val="24"/>
          <w:szCs w:val="24"/>
        </w:rPr>
      </w:pPr>
      <w:r w:rsidRPr="00A53149">
        <w:rPr>
          <w:rFonts w:ascii="Arial" w:eastAsia="Times New Roman" w:hAnsi="Arial" w:cs="Arial"/>
          <w:color w:val="000000"/>
          <w:sz w:val="24"/>
          <w:szCs w:val="24"/>
        </w:rPr>
        <w:t>Chronic Obstructive Pulmonary Disease Major Category: Other</w:t>
      </w:r>
    </w:p>
    <w:p w:rsidR="00A53149" w:rsidRPr="00A53149" w:rsidRDefault="00A53149" w:rsidP="00A53149">
      <w:pPr>
        <w:spacing w:after="0" w:line="240" w:lineRule="auto"/>
        <w:rPr>
          <w:rFonts w:ascii="Times New Roman" w:eastAsia="Times New Roman" w:hAnsi="Times New Roman" w:cs="Times New Roman"/>
          <w:sz w:val="24"/>
          <w:szCs w:val="24"/>
        </w:rPr>
      </w:pPr>
      <w:r w:rsidRPr="00A53149">
        <w:rPr>
          <w:rFonts w:ascii="Times New Roman" w:eastAsia="Times New Roman" w:hAnsi="Times New Roman" w:cs="Times New Roman"/>
          <w:sz w:val="24"/>
          <w:szCs w:val="24"/>
        </w:rPr>
        <w:pict>
          <v:rect id="_x0000_i1026" style="width:0;height:1.5pt" o:hralign="center" o:hrstd="t" o:hrnoshade="t" o:hr="t" fillcolor="black" stroked="f"/>
        </w:pict>
      </w:r>
    </w:p>
    <w:p w:rsidR="00A53149" w:rsidRPr="00A53149" w:rsidRDefault="00A53149" w:rsidP="00A53149">
      <w:pPr>
        <w:shd w:val="clear" w:color="auto" w:fill="FFFFFF"/>
        <w:spacing w:before="300" w:after="180" w:line="240" w:lineRule="auto"/>
        <w:textAlignment w:val="top"/>
        <w:outlineLvl w:val="3"/>
        <w:rPr>
          <w:rFonts w:ascii="ProximaNovaSemibold" w:eastAsia="Times New Roman" w:hAnsi="ProximaNovaSemibold" w:cs="Times New Roman"/>
          <w:b/>
          <w:bCs/>
          <w:color w:val="000000"/>
          <w:sz w:val="26"/>
          <w:szCs w:val="26"/>
        </w:rPr>
      </w:pPr>
      <w:bookmarkStart w:id="2" w:name="_bookmark8"/>
      <w:bookmarkEnd w:id="2"/>
      <w:r w:rsidRPr="00A53149">
        <w:rPr>
          <w:rFonts w:ascii="ProximaNovaSemibold" w:eastAsia="Times New Roman" w:hAnsi="ProximaNovaSemibold" w:cs="Times New Roman"/>
          <w:b/>
          <w:bCs/>
          <w:color w:val="000000"/>
          <w:sz w:val="26"/>
          <w:szCs w:val="26"/>
        </w:rPr>
        <w:t>Step Three: Initial Appropriateness</w:t>
      </w:r>
    </w:p>
    <w:p w:rsidR="00A53149" w:rsidRPr="00A53149" w:rsidRDefault="00A53149" w:rsidP="00A53149">
      <w:pPr>
        <w:shd w:val="clear" w:color="auto" w:fill="FFFFFF"/>
        <w:spacing w:before="192" w:after="192" w:line="360" w:lineRule="atLeast"/>
        <w:rPr>
          <w:rFonts w:ascii="Arial" w:eastAsia="Times New Roman" w:hAnsi="Arial" w:cs="Arial"/>
          <w:color w:val="000000"/>
          <w:sz w:val="24"/>
          <w:szCs w:val="24"/>
        </w:rPr>
      </w:pPr>
      <w:r w:rsidRPr="00A53149">
        <w:rPr>
          <w:rFonts w:ascii="Arial" w:eastAsia="Times New Roman" w:hAnsi="Arial" w:cs="Arial"/>
          <w:color w:val="000000"/>
          <w:sz w:val="24"/>
          <w:szCs w:val="24"/>
        </w:rPr>
        <w:t>Determining Initial Appropriateness is the final and key step in the process to determine that an individual meets eligibility for Health Home Program enrollment.</w:t>
      </w:r>
      <w:r w:rsidR="00B10D93">
        <w:rPr>
          <w:rFonts w:ascii="Arial" w:eastAsia="Times New Roman" w:hAnsi="Arial" w:cs="Arial"/>
          <w:color w:val="000000"/>
          <w:sz w:val="24"/>
          <w:szCs w:val="24"/>
        </w:rPr>
        <w:t xml:space="preserve"> This is a two-step process.</w:t>
      </w:r>
      <w:r w:rsidRPr="00A53149">
        <w:rPr>
          <w:rFonts w:ascii="Arial" w:eastAsia="Times New Roman" w:hAnsi="Arial" w:cs="Arial"/>
          <w:color w:val="000000"/>
          <w:sz w:val="24"/>
          <w:szCs w:val="24"/>
        </w:rPr>
        <w:t xml:space="preserve"> The first part is related to activities that must be completed to </w:t>
      </w:r>
      <w:r w:rsidRPr="00A53149">
        <w:rPr>
          <w:rFonts w:ascii="Arial" w:eastAsia="Times New Roman" w:hAnsi="Arial" w:cs="Arial"/>
          <w:i/>
          <w:iCs/>
          <w:color w:val="000000"/>
          <w:sz w:val="24"/>
          <w:szCs w:val="24"/>
        </w:rPr>
        <w:t>confirm</w:t>
      </w:r>
      <w:r w:rsidRPr="00A53149">
        <w:rPr>
          <w:rFonts w:ascii="Arial" w:eastAsia="Times New Roman" w:hAnsi="Arial" w:cs="Arial"/>
          <w:color w:val="000000"/>
          <w:sz w:val="24"/>
          <w:szCs w:val="24"/>
        </w:rPr>
        <w:t> Initial Appropriateness; the second part is related to the requirement for </w:t>
      </w:r>
      <w:r w:rsidRPr="00A53149">
        <w:rPr>
          <w:rFonts w:ascii="Arial" w:eastAsia="Times New Roman" w:hAnsi="Arial" w:cs="Arial"/>
          <w:i/>
          <w:iCs/>
          <w:color w:val="000000"/>
          <w:sz w:val="24"/>
          <w:szCs w:val="24"/>
        </w:rPr>
        <w:t>reporting</w:t>
      </w:r>
      <w:r w:rsidRPr="00A53149">
        <w:rPr>
          <w:rFonts w:ascii="Arial" w:eastAsia="Times New Roman" w:hAnsi="Arial" w:cs="Arial"/>
          <w:color w:val="000000"/>
          <w:sz w:val="24"/>
          <w:szCs w:val="24"/>
        </w:rPr>
        <w:t> Initial Appropriateness</w:t>
      </w:r>
      <w:r>
        <w:rPr>
          <w:rFonts w:ascii="Arial" w:eastAsia="Times New Roman" w:hAnsi="Arial" w:cs="Arial"/>
          <w:color w:val="000000"/>
          <w:sz w:val="24"/>
          <w:szCs w:val="24"/>
        </w:rPr>
        <w:t xml:space="preserve"> and step two will be completed by the Health Home program.</w:t>
      </w:r>
    </w:p>
    <w:p w:rsidR="00A53149" w:rsidRPr="00A53149" w:rsidRDefault="00A53149" w:rsidP="00A53149">
      <w:pPr>
        <w:spacing w:after="0" w:line="240" w:lineRule="auto"/>
        <w:rPr>
          <w:rFonts w:ascii="Times New Roman" w:eastAsia="Times New Roman" w:hAnsi="Times New Roman" w:cs="Times New Roman"/>
          <w:sz w:val="24"/>
          <w:szCs w:val="24"/>
        </w:rPr>
      </w:pPr>
      <w:r w:rsidRPr="00A53149">
        <w:rPr>
          <w:rFonts w:ascii="Times New Roman" w:eastAsia="Times New Roman" w:hAnsi="Times New Roman" w:cs="Times New Roman"/>
          <w:sz w:val="24"/>
          <w:szCs w:val="24"/>
        </w:rPr>
        <w:lastRenderedPageBreak/>
        <w:pict>
          <v:rect id="_x0000_i1027" style="width:0;height:1.5pt" o:hralign="center" o:hrstd="t" o:hrnoshade="t" o:hr="t" fillcolor="black" stroked="f"/>
        </w:pict>
      </w:r>
    </w:p>
    <w:p w:rsidR="00A53149" w:rsidRDefault="00A53149" w:rsidP="00A53149">
      <w:pPr>
        <w:shd w:val="clear" w:color="auto" w:fill="FFFFFF"/>
        <w:spacing w:before="300" w:after="180" w:line="240" w:lineRule="auto"/>
        <w:textAlignment w:val="top"/>
        <w:outlineLvl w:val="3"/>
        <w:rPr>
          <w:rFonts w:ascii="ProximaNovaSemibold" w:eastAsia="Times New Roman" w:hAnsi="ProximaNovaSemibold" w:cs="Times New Roman"/>
          <w:b/>
          <w:bCs/>
          <w:color w:val="000000"/>
          <w:sz w:val="26"/>
          <w:szCs w:val="26"/>
        </w:rPr>
      </w:pPr>
      <w:bookmarkStart w:id="3" w:name="_bookmark9"/>
      <w:bookmarkEnd w:id="3"/>
    </w:p>
    <w:p w:rsidR="00A53149" w:rsidRPr="00A53149" w:rsidRDefault="00A53149" w:rsidP="00A53149">
      <w:pPr>
        <w:shd w:val="clear" w:color="auto" w:fill="FFFFFF"/>
        <w:spacing w:before="300" w:after="180" w:line="240" w:lineRule="auto"/>
        <w:textAlignment w:val="top"/>
        <w:outlineLvl w:val="3"/>
        <w:rPr>
          <w:rFonts w:ascii="ProximaNovaSemibold" w:eastAsia="Times New Roman" w:hAnsi="ProximaNovaSemibold" w:cs="Times New Roman"/>
          <w:b/>
          <w:bCs/>
          <w:color w:val="000000"/>
          <w:sz w:val="26"/>
          <w:szCs w:val="26"/>
        </w:rPr>
      </w:pPr>
      <w:r w:rsidRPr="00A53149">
        <w:rPr>
          <w:rFonts w:ascii="ProximaNovaSemibold" w:eastAsia="Times New Roman" w:hAnsi="ProximaNovaSemibold" w:cs="Times New Roman"/>
          <w:b/>
          <w:bCs/>
          <w:color w:val="000000"/>
          <w:sz w:val="26"/>
          <w:szCs w:val="26"/>
        </w:rPr>
        <w:t>Confirming Initial Appropriateness</w:t>
      </w:r>
    </w:p>
    <w:p w:rsidR="00A53149" w:rsidRPr="00A53149" w:rsidRDefault="00A53149" w:rsidP="00A53149">
      <w:pPr>
        <w:shd w:val="clear" w:color="auto" w:fill="FFFFFF"/>
        <w:spacing w:before="192" w:after="192" w:line="360" w:lineRule="atLeast"/>
        <w:rPr>
          <w:rFonts w:ascii="Arial" w:eastAsia="Times New Roman" w:hAnsi="Arial" w:cs="Arial"/>
          <w:color w:val="000000"/>
          <w:sz w:val="24"/>
          <w:szCs w:val="24"/>
        </w:rPr>
      </w:pPr>
      <w:r w:rsidRPr="00A53149">
        <w:rPr>
          <w:rFonts w:ascii="Arial" w:eastAsia="Times New Roman" w:hAnsi="Arial" w:cs="Arial"/>
          <w:color w:val="000000"/>
          <w:sz w:val="24"/>
          <w:szCs w:val="24"/>
        </w:rPr>
        <w:t>Many Medicaid enrollees have Health Home qualifying medical conditions but simply meeting Medicaid eligibility and qualifying conditions does not make someone eligible for Health Home enrollment. For example, an individual can have two chronic conditions and be managing their own health and social care needs effectively thereby not requiring Health Home care management assistance. To qualify for enrollment (and ongoing care management services) in the Health Home program, an individual must be assessed and found to have significant behavioral, medical, physical, or social risk factors that require the intensive level of Care Management services provided by the Health Home program.</w:t>
      </w:r>
    </w:p>
    <w:p w:rsidR="00A53149" w:rsidRPr="00A53149" w:rsidRDefault="00A53149" w:rsidP="00A53149">
      <w:pPr>
        <w:shd w:val="clear" w:color="auto" w:fill="FFFFFF"/>
        <w:spacing w:before="192" w:after="192" w:line="360" w:lineRule="atLeast"/>
        <w:rPr>
          <w:rFonts w:ascii="Arial" w:eastAsia="Times New Roman" w:hAnsi="Arial" w:cs="Arial"/>
          <w:color w:val="000000"/>
          <w:sz w:val="24"/>
          <w:szCs w:val="24"/>
        </w:rPr>
      </w:pPr>
      <w:r w:rsidRPr="00A53149">
        <w:rPr>
          <w:rFonts w:ascii="Arial" w:eastAsia="Times New Roman" w:hAnsi="Arial" w:cs="Arial"/>
          <w:color w:val="000000"/>
          <w:sz w:val="24"/>
          <w:szCs w:val="24"/>
        </w:rPr>
        <w:t>Selection of risk factors must be well documented in the member's record and must be related to a requirement for comprehensive care management in order for the member to be effectively served. (It should be noted that even if existing enrolled Health Home (HH) members are triggering some of these historical risk factors, if they are currently managing their condition well with existing services and natural supports, they can and should be transitioned to lower levels of care management and disenrolled from the Health Home program).</w:t>
      </w:r>
    </w:p>
    <w:p w:rsidR="00193754" w:rsidRDefault="008F33EA">
      <w:r>
        <w:t>*Modified from:</w:t>
      </w:r>
      <w:bookmarkStart w:id="4" w:name="_GoBack"/>
      <w:bookmarkEnd w:id="4"/>
      <w:r>
        <w:t xml:space="preserve"> </w:t>
      </w:r>
      <w:r>
        <w:rPr>
          <w:rFonts w:ascii="Aptos" w:eastAsia="Times New Roman" w:hAnsi="Aptos"/>
          <w:color w:val="000000"/>
        </w:rPr>
        <w:t xml:space="preserve">Eligibility Requirements for Health Home Services and Continued Eligibility in the Health Home Program HH0016 </w:t>
      </w:r>
      <w:r>
        <w:rPr>
          <w:rFonts w:ascii="Aptos" w:eastAsia="Times New Roman" w:hAnsi="Aptos"/>
          <w:color w:val="000000"/>
        </w:rPr>
        <w:t>Updated August, 2025.</w:t>
      </w:r>
    </w:p>
    <w:sectPr w:rsidR="001937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roximaNovaSemibol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D410F"/>
    <w:multiLevelType w:val="multilevel"/>
    <w:tmpl w:val="5526F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C1CB4"/>
    <w:multiLevelType w:val="multilevel"/>
    <w:tmpl w:val="B22C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337AA"/>
    <w:multiLevelType w:val="multilevel"/>
    <w:tmpl w:val="57B8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5B0E16"/>
    <w:multiLevelType w:val="multilevel"/>
    <w:tmpl w:val="1E36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782F09"/>
    <w:multiLevelType w:val="multilevel"/>
    <w:tmpl w:val="50C4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2304C6"/>
    <w:multiLevelType w:val="hybridMultilevel"/>
    <w:tmpl w:val="A9165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CFA75D1"/>
    <w:multiLevelType w:val="multilevel"/>
    <w:tmpl w:val="5E3C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122CAB"/>
    <w:multiLevelType w:val="multilevel"/>
    <w:tmpl w:val="B38E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54582B"/>
    <w:multiLevelType w:val="hybridMultilevel"/>
    <w:tmpl w:val="C1EAE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6D62A7"/>
    <w:multiLevelType w:val="multilevel"/>
    <w:tmpl w:val="2BCC9E5C"/>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num w:numId="1">
    <w:abstractNumId w:val="9"/>
  </w:num>
  <w:num w:numId="2">
    <w:abstractNumId w:val="4"/>
  </w:num>
  <w:num w:numId="3">
    <w:abstractNumId w:val="2"/>
  </w:num>
  <w:num w:numId="4">
    <w:abstractNumId w:val="7"/>
  </w:num>
  <w:num w:numId="5">
    <w:abstractNumId w:val="3"/>
  </w:num>
  <w:num w:numId="6">
    <w:abstractNumId w:val="1"/>
  </w:num>
  <w:num w:numId="7">
    <w:abstractNumId w:val="6"/>
  </w:num>
  <w:num w:numId="8">
    <w:abstractNumId w:val="0"/>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149"/>
    <w:rsid w:val="00145317"/>
    <w:rsid w:val="00193754"/>
    <w:rsid w:val="008F33EA"/>
    <w:rsid w:val="00A53149"/>
    <w:rsid w:val="00B10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CC726"/>
  <w15:chartTrackingRefBased/>
  <w15:docId w15:val="{5C759CAF-DC25-4C77-98E7-D38627D1F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A5314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A5314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53149"/>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A53149"/>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A531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53149"/>
    <w:rPr>
      <w:b/>
      <w:bCs/>
    </w:rPr>
  </w:style>
  <w:style w:type="character" w:styleId="Hyperlink">
    <w:name w:val="Hyperlink"/>
    <w:basedOn w:val="DefaultParagraphFont"/>
    <w:uiPriority w:val="99"/>
    <w:semiHidden/>
    <w:unhideWhenUsed/>
    <w:rsid w:val="00A53149"/>
    <w:rPr>
      <w:color w:val="0000FF"/>
      <w:u w:val="single"/>
    </w:rPr>
  </w:style>
  <w:style w:type="character" w:styleId="Emphasis">
    <w:name w:val="Emphasis"/>
    <w:basedOn w:val="DefaultParagraphFont"/>
    <w:uiPriority w:val="20"/>
    <w:qFormat/>
    <w:rsid w:val="00A53149"/>
    <w:rPr>
      <w:i/>
      <w:iCs/>
    </w:rPr>
  </w:style>
  <w:style w:type="paragraph" w:styleId="ListParagraph">
    <w:name w:val="List Paragraph"/>
    <w:basedOn w:val="Normal"/>
    <w:uiPriority w:val="34"/>
    <w:qFormat/>
    <w:rsid w:val="00B10D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716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ealth.ny.gov/health_care/medicaid/program/medicaid_health_homes/docs/smi_definition_for_health_home_eligibility.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856</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O'Quinn</dc:creator>
  <cp:keywords/>
  <dc:description/>
  <cp:lastModifiedBy>Patrick O'Quinn</cp:lastModifiedBy>
  <cp:revision>3</cp:revision>
  <dcterms:created xsi:type="dcterms:W3CDTF">2026-05-01T16:49:00Z</dcterms:created>
  <dcterms:modified xsi:type="dcterms:W3CDTF">2026-05-01T17:07:00Z</dcterms:modified>
</cp:coreProperties>
</file>